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/>
    <w:p>
      <w:pPr>
        <w:spacing w:line="60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kern w:val="0"/>
          <w:sz w:val="44"/>
          <w:szCs w:val="44"/>
        </w:rPr>
        <w:t>陕西省第一届职业技能大赛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裁判员工作评估表</w:t>
      </w:r>
    </w:p>
    <w:p/>
    <w:p>
      <w:pPr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竞赛项目：        裁判员姓名：</w:t>
      </w:r>
    </w:p>
    <w:p>
      <w:pPr>
        <w:jc w:val="left"/>
      </w:pPr>
      <w:r>
        <w:rPr>
          <w:snapToGrid w:val="0"/>
          <w:kern w:val="0"/>
          <w:sz w:val="28"/>
          <w:szCs w:val="28"/>
        </w:rPr>
        <w:t xml:space="preserve">评估方： 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  </w:t>
      </w:r>
      <w:r>
        <w:rPr>
          <w:snapToGrid w:val="0"/>
          <w:kern w:val="0"/>
          <w:sz w:val="28"/>
          <w:szCs w:val="28"/>
        </w:rPr>
        <w:t>裁判长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：</w:t>
      </w:r>
      <w:r>
        <w:rPr>
          <w:snapToGrid w:val="0"/>
          <w:kern w:val="0"/>
          <w:sz w:val="28"/>
          <w:szCs w:val="28"/>
        </w:rPr>
        <w:t xml:space="preserve">        </w:t>
      </w:r>
    </w:p>
    <w:p>
      <w:pPr>
        <w:pStyle w:val="5"/>
        <w:ind w:firstLine="640"/>
        <w:rPr>
          <w:rFonts w:ascii="Times New Roman" w:hAnsi="Times New Roman"/>
        </w:rPr>
      </w:pPr>
    </w:p>
    <w:tbl>
      <w:tblPr>
        <w:tblStyle w:val="3"/>
        <w:tblW w:w="91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  <w:gridCol w:w="5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赛前表现</w:t>
            </w:r>
          </w:p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（主要包括赛前技术交流的积极、主动性及专家能力表现）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</w:rPr>
            </w:pPr>
          </w:p>
          <w:p>
            <w:pPr>
              <w:adjustRightInd w:val="0"/>
              <w:snapToGrid w:val="0"/>
              <w:spacing w:beforeLines="10" w:afterLines="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优秀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良好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  <w:r>
              <w:rPr>
                <w:bCs/>
                <w:sz w:val="28"/>
                <w:szCs w:val="28"/>
              </w:rPr>
              <w:t xml:space="preserve">  合格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不合格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</w:p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赛中表现</w:t>
            </w:r>
          </w:p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（主要包括执裁专业能力和公平公正性）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>优秀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良好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  <w:r>
              <w:rPr>
                <w:bCs/>
                <w:sz w:val="28"/>
                <w:szCs w:val="28"/>
              </w:rPr>
              <w:t xml:space="preserve">  合格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不合格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职业道德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优秀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良好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  <w:r>
              <w:rPr>
                <w:bCs/>
                <w:sz w:val="28"/>
                <w:szCs w:val="28"/>
              </w:rPr>
              <w:t xml:space="preserve">  合格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不合格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综合评价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优秀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良好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  <w:r>
              <w:rPr>
                <w:bCs/>
                <w:sz w:val="28"/>
                <w:szCs w:val="28"/>
              </w:rPr>
              <w:t xml:space="preserve">  合格</w:t>
            </w:r>
            <w:r>
              <w:rPr>
                <w:rFonts w:eastAsia="黑体"/>
                <w:bCs/>
                <w:sz w:val="44"/>
                <w:szCs w:val="44"/>
              </w:rPr>
              <w:t xml:space="preserve">□ </w:t>
            </w:r>
            <w:r>
              <w:rPr>
                <w:bCs/>
                <w:sz w:val="28"/>
                <w:szCs w:val="28"/>
              </w:rPr>
              <w:t>不合格</w:t>
            </w:r>
            <w:r>
              <w:rPr>
                <w:rFonts w:eastAsia="黑体"/>
                <w:bCs/>
                <w:sz w:val="44"/>
                <w:szCs w:val="44"/>
              </w:rPr>
              <w:t>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51C4"/>
    <w:rsid w:val="5D5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2024-06-17T08:07:00Z</dcterms:created>
  <dc:creator>lenovo</dc:creator>
  <cp:lastModifiedBy>lenovo</cp:lastModifiedBy>
  <dcterms:modified xsi:type="dcterms:W3CDTF">2024-06-17T08:07:56Z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